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AD8" w:rsidRDefault="00D56C98" w:rsidP="00D56C98">
      <w:r>
        <w:rPr>
          <w:noProof/>
        </w:rPr>
        <mc:AlternateContent>
          <mc:Choice Requires="wps">
            <w:drawing>
              <wp:anchor distT="0" distB="0" distL="114300" distR="114300" simplePos="0" relativeHeight="251659264" behindDoc="0" locked="0" layoutInCell="1" allowOverlap="1" wp14:anchorId="6C2B45FC" wp14:editId="5328B3EE">
                <wp:simplePos x="0" y="0"/>
                <wp:positionH relativeFrom="column">
                  <wp:posOffset>1426845</wp:posOffset>
                </wp:positionH>
                <wp:positionV relativeFrom="paragraph">
                  <wp:posOffset>19685</wp:posOffset>
                </wp:positionV>
                <wp:extent cx="2743200" cy="754380"/>
                <wp:effectExtent l="0" t="0" r="19050" b="266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54380"/>
                        </a:xfrm>
                        <a:prstGeom prst="rect">
                          <a:avLst/>
                        </a:prstGeom>
                        <a:solidFill>
                          <a:srgbClr val="FFFFFF"/>
                        </a:solidFill>
                        <a:ln w="19050">
                          <a:solidFill>
                            <a:srgbClr val="000000"/>
                          </a:solidFill>
                          <a:miter lim="800000"/>
                          <a:headEnd/>
                          <a:tailEnd/>
                        </a:ln>
                      </wps:spPr>
                      <wps:txbx>
                        <w:txbxContent>
                          <w:p w:rsidR="00D56C98" w:rsidRPr="00D56C98" w:rsidRDefault="00D56C98" w:rsidP="00D56C98">
                            <w:pPr>
                              <w:jc w:val="center"/>
                              <w:rPr>
                                <w:rFonts w:asciiTheme="majorEastAsia" w:eastAsiaTheme="majorEastAsia" w:hAnsiTheme="majorEastAsia"/>
                                <w:b/>
                              </w:rPr>
                            </w:pPr>
                            <w:r w:rsidRPr="00D56C98">
                              <w:rPr>
                                <w:rFonts w:asciiTheme="majorEastAsia" w:eastAsiaTheme="majorEastAsia" w:hAnsiTheme="majorEastAsia" w:hint="eastAsia"/>
                                <w:b/>
                              </w:rPr>
                              <w:t>津島市介護予防・日常生活支援総合事業</w:t>
                            </w:r>
                          </w:p>
                          <w:p w:rsidR="00D56C98" w:rsidRPr="00D56C98" w:rsidRDefault="00D56C98" w:rsidP="00D56C98">
                            <w:pPr>
                              <w:jc w:val="center"/>
                              <w:rPr>
                                <w:rFonts w:asciiTheme="majorEastAsia" w:eastAsiaTheme="majorEastAsia" w:hAnsiTheme="majorEastAsia"/>
                                <w:b/>
                              </w:rPr>
                            </w:pPr>
                            <w:r w:rsidRPr="00D56C98">
                              <w:rPr>
                                <w:rFonts w:asciiTheme="majorEastAsia" w:eastAsiaTheme="majorEastAsia" w:hAnsiTheme="majorEastAsia" w:hint="eastAsia"/>
                                <w:b/>
                              </w:rPr>
                              <w:t>通所型サービスＡ（短時間型サービス）</w:t>
                            </w:r>
                          </w:p>
                          <w:p w:rsidR="00D56C98" w:rsidRPr="00D56C98" w:rsidRDefault="00D56C98" w:rsidP="00D56C98">
                            <w:pPr>
                              <w:jc w:val="center"/>
                              <w:rPr>
                                <w:rFonts w:asciiTheme="majorEastAsia" w:eastAsiaTheme="majorEastAsia" w:hAnsiTheme="majorEastAsia"/>
                                <w:b/>
                              </w:rPr>
                            </w:pPr>
                            <w:r w:rsidRPr="00D56C98">
                              <w:rPr>
                                <w:rFonts w:asciiTheme="majorEastAsia" w:eastAsiaTheme="majorEastAsia" w:hAnsiTheme="majorEastAsia" w:hint="eastAsia"/>
                                <w:b/>
                              </w:rPr>
                              <w:t>運動器機能向上プログラム実施方法</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2.35pt;margin-top:1.55pt;width:3in;height:5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" strokeweight="1.5pt">
                <v:textbox>
                  <w:txbxContent>
                    <w:p w:rsidR="00D56C98" w:rsidRPr="00D56C98" w:rsidRDefault="00D56C98" w:rsidP="00D56C98">
                      <w:pPr>
                        <w:jc w:val="center"/>
                        <w:rPr>
                          <w:rFonts w:asciiTheme="majorEastAsia" w:eastAsiaTheme="majorEastAsia" w:hAnsiTheme="majorEastAsia"/>
                          <w:b/>
                        </w:rPr>
                      </w:pPr>
                      <w:r w:rsidRPr="00D56C98">
                        <w:rPr>
                          <w:rFonts w:asciiTheme="majorEastAsia" w:eastAsiaTheme="majorEastAsia" w:hAnsiTheme="majorEastAsia" w:hint="eastAsia"/>
                          <w:b/>
                        </w:rPr>
                        <w:t>津島市介護予防・日常生活支援総合事業</w:t>
                      </w:r>
                    </w:p>
                    <w:p w:rsidR="00D56C98" w:rsidRPr="00D56C98" w:rsidRDefault="00D56C98" w:rsidP="00D56C98">
                      <w:pPr>
                        <w:jc w:val="center"/>
                        <w:rPr>
                          <w:rFonts w:asciiTheme="majorEastAsia" w:eastAsiaTheme="majorEastAsia" w:hAnsiTheme="majorEastAsia"/>
                          <w:b/>
                        </w:rPr>
                      </w:pPr>
                      <w:r w:rsidRPr="00D56C98">
                        <w:rPr>
                          <w:rFonts w:asciiTheme="majorEastAsia" w:eastAsiaTheme="majorEastAsia" w:hAnsiTheme="majorEastAsia" w:hint="eastAsia"/>
                          <w:b/>
                        </w:rPr>
                        <w:t>通所型サービスＡ（短時間型サービス）</w:t>
                      </w:r>
                    </w:p>
                    <w:p w:rsidR="00D56C98" w:rsidRPr="00D56C98" w:rsidRDefault="00D56C98" w:rsidP="00D56C98">
                      <w:pPr>
                        <w:jc w:val="center"/>
                        <w:rPr>
                          <w:rFonts w:asciiTheme="majorEastAsia" w:eastAsiaTheme="majorEastAsia" w:hAnsiTheme="majorEastAsia"/>
                          <w:b/>
                        </w:rPr>
                      </w:pPr>
                      <w:r w:rsidRPr="00D56C98">
                        <w:rPr>
                          <w:rFonts w:asciiTheme="majorEastAsia" w:eastAsiaTheme="majorEastAsia" w:hAnsiTheme="majorEastAsia" w:hint="eastAsia"/>
                          <w:b/>
                        </w:rPr>
                        <w:t>運動器機能向上プログラム実施方法</w:t>
                      </w:r>
                      <w:bookmarkStart w:id="1" w:name="_GoBack"/>
                      <w:bookmarkEnd w:id="1"/>
                    </w:p>
                  </w:txbxContent>
                </v:textbox>
              </v:shape>
            </w:pict>
          </mc:Fallback>
        </mc:AlternateContent>
      </w:r>
    </w:p>
    <w:p w:rsidR="00B04AD8" w:rsidRDefault="00B04AD8"/>
    <w:p w:rsidR="00D56C98" w:rsidRDefault="00D56C98"/>
    <w:p w:rsidR="00D56C98" w:rsidRDefault="00D56C98"/>
    <w:p w:rsidR="00B04AD8" w:rsidRPr="00FF301E" w:rsidRDefault="00B04AD8">
      <w:pPr>
        <w:rPr>
          <w:b/>
        </w:rPr>
      </w:pPr>
      <w:r w:rsidRPr="00FF301E">
        <w:rPr>
          <w:rFonts w:hint="eastAsia"/>
          <w:b/>
        </w:rPr>
        <w:t>（１）運動器機能向上プログラム</w:t>
      </w:r>
      <w:r w:rsidR="00FF301E" w:rsidRPr="00FF301E">
        <w:rPr>
          <w:rFonts w:hint="eastAsia"/>
          <w:b/>
        </w:rPr>
        <w:t>（詳細は別紙参照）</w:t>
      </w:r>
    </w:p>
    <w:p w:rsidR="00FF301E" w:rsidRDefault="00FF301E" w:rsidP="00FF301E">
      <w:pPr>
        <w:ind w:left="630" w:hangingChars="300" w:hanging="630"/>
      </w:pPr>
      <w:r>
        <w:rPr>
          <w:rFonts w:hint="eastAsia"/>
        </w:rPr>
        <w:t xml:space="preserve">　　・利用者の身体機能に不足しているだろう状態に合わせて運動プログラムが選べるように症状別に作成。</w:t>
      </w:r>
    </w:p>
    <w:p w:rsidR="00FF301E" w:rsidRDefault="00FF301E" w:rsidP="00FF301E">
      <w:pPr>
        <w:ind w:leftChars="200" w:left="630" w:hangingChars="100" w:hanging="210"/>
      </w:pPr>
      <w:r>
        <w:rPr>
          <w:rFonts w:hint="eastAsia"/>
        </w:rPr>
        <w:t>・提供者は利用者の状態を評価し、また利用者自身がその日の体調に合わせて運動プログラムを自己選択する事も可能。</w:t>
      </w:r>
    </w:p>
    <w:p w:rsidR="00FF301E" w:rsidRDefault="00FF301E" w:rsidP="00FF301E">
      <w:pPr>
        <w:ind w:firstLineChars="200" w:firstLine="420"/>
      </w:pPr>
      <w:r>
        <w:rPr>
          <w:rFonts w:hint="eastAsia"/>
        </w:rPr>
        <w:t>・来所時に利用者の空いている時間を利用し自身で運動が可能。</w:t>
      </w:r>
    </w:p>
    <w:p w:rsidR="00FF301E" w:rsidRDefault="00FF301E" w:rsidP="00FF301E">
      <w:r>
        <w:rPr>
          <w:rFonts w:hint="eastAsia"/>
        </w:rPr>
        <w:t xml:space="preserve">　　　（１資料５分～１０分の所要時間）</w:t>
      </w:r>
    </w:p>
    <w:p w:rsidR="00FF301E" w:rsidRDefault="00FF301E" w:rsidP="00FF301E">
      <w:pPr>
        <w:ind w:firstLineChars="200" w:firstLine="420"/>
      </w:pPr>
      <w:r>
        <w:rPr>
          <w:rFonts w:hint="eastAsia"/>
        </w:rPr>
        <w:t>・椅子座位での運動を中心にプログラムしてあり、自宅で使用ができる。</w:t>
      </w:r>
    </w:p>
    <w:p w:rsidR="00FF301E" w:rsidRDefault="00FF301E" w:rsidP="00FF301E">
      <w:r>
        <w:rPr>
          <w:noProof/>
        </w:rPr>
        <mc:AlternateContent>
          <mc:Choice Requires="wps">
            <w:drawing>
              <wp:anchor distT="0" distB="0" distL="114300" distR="114300" simplePos="0" relativeHeight="251660288" behindDoc="0" locked="0" layoutInCell="1" allowOverlap="1">
                <wp:simplePos x="0" y="0"/>
                <wp:positionH relativeFrom="column">
                  <wp:posOffset>2356485</wp:posOffset>
                </wp:positionH>
                <wp:positionV relativeFrom="paragraph">
                  <wp:posOffset>-3175</wp:posOffset>
                </wp:positionV>
                <wp:extent cx="137160" cy="228600"/>
                <wp:effectExtent l="19050" t="0" r="34290" b="38100"/>
                <wp:wrapNone/>
                <wp:docPr id="1" name="下矢印 1"/>
                <wp:cNvGraphicFramePr/>
                <a:graphic xmlns:a="http://schemas.openxmlformats.org/drawingml/2006/main">
                  <a:graphicData uri="http://schemas.microsoft.com/office/word/2010/wordprocessingShape">
                    <wps:wsp>
                      <wps:cNvSpPr/>
                      <wps:spPr>
                        <a:xfrm>
                          <a:off x="0" y="0"/>
                          <a:ext cx="13716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85.55pt;margin-top:-.25pt;width:10.8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" adj="15120" fillcolor="#4f81bd [3204]" strokecolor="#243f60 [1604]" strokeweight="2pt"/>
            </w:pict>
          </mc:Fallback>
        </mc:AlternateContent>
      </w:r>
    </w:p>
    <w:p w:rsidR="00FF301E" w:rsidRDefault="00FF301E" w:rsidP="00FF301E">
      <w:r>
        <w:rPr>
          <w:rFonts w:hint="eastAsia"/>
        </w:rPr>
        <w:t xml:space="preserve">　　セルフエクササイズ・運動習慣の確立・自分の身体を自分で管理をする意識</w:t>
      </w:r>
    </w:p>
    <w:p w:rsidR="00FF301E" w:rsidRDefault="00FF301E" w:rsidP="00FF301E">
      <w:r>
        <w:rPr>
          <w:noProof/>
        </w:rPr>
        <mc:AlternateContent>
          <mc:Choice Requires="wps">
            <w:drawing>
              <wp:anchor distT="0" distB="0" distL="114300" distR="114300" simplePos="0" relativeHeight="251661312" behindDoc="0" locked="0" layoutInCell="1" allowOverlap="1" wp14:anchorId="5C81E3C0" wp14:editId="7E0B3502">
                <wp:simplePos x="0" y="0"/>
                <wp:positionH relativeFrom="column">
                  <wp:posOffset>824865</wp:posOffset>
                </wp:positionH>
                <wp:positionV relativeFrom="paragraph">
                  <wp:posOffset>164465</wp:posOffset>
                </wp:positionV>
                <wp:extent cx="3284220" cy="655320"/>
                <wp:effectExtent l="0" t="0" r="11430" b="11430"/>
                <wp:wrapNone/>
                <wp:docPr id="2" name="横巻き 2"/>
                <wp:cNvGraphicFramePr/>
                <a:graphic xmlns:a="http://schemas.openxmlformats.org/drawingml/2006/main">
                  <a:graphicData uri="http://schemas.microsoft.com/office/word/2010/wordprocessingShape">
                    <wps:wsp>
                      <wps:cNvSpPr/>
                      <wps:spPr>
                        <a:xfrm>
                          <a:off x="0" y="0"/>
                          <a:ext cx="3284220" cy="655320"/>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301E" w:rsidRPr="00FF301E" w:rsidRDefault="00FF301E" w:rsidP="00FF301E">
                            <w:pPr>
                              <w:jc w:val="center"/>
                              <w:rPr>
                                <w:rFonts w:ascii="HG丸ｺﾞｼｯｸM-PRO" w:eastAsia="HG丸ｺﾞｼｯｸM-PRO" w:hAnsi="HG丸ｺﾞｼｯｸM-PRO"/>
                                <w:color w:val="000000" w:themeColor="text1"/>
                                <w:sz w:val="32"/>
                                <w:szCs w:val="32"/>
                              </w:rPr>
                            </w:pPr>
                            <w:r w:rsidRPr="00FF301E">
                              <w:rPr>
                                <w:rFonts w:ascii="HG丸ｺﾞｼｯｸM-PRO" w:eastAsia="HG丸ｺﾞｼｯｸM-PRO" w:hAnsi="HG丸ｺﾞｼｯｸM-PRO" w:hint="eastAsia"/>
                                <w:color w:val="000000" w:themeColor="text1"/>
                                <w:sz w:val="32"/>
                                <w:szCs w:val="32"/>
                              </w:rPr>
                              <w:t>自立支援へのきっかけ作り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7" type="#_x0000_t98" style="position:absolute;left:0;text-align:left;margin-left:64.95pt;margin-top:12.95pt;width:258.6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" filled="f" strokecolor="black [3213]" strokeweight="2pt">
                <v:textbox>
                  <w:txbxContent>
                    <w:p w:rsidR="00FF301E" w:rsidRPr="00FF301E" w:rsidRDefault="00FF301E" w:rsidP="00FF301E">
                      <w:pPr>
                        <w:jc w:val="center"/>
                        <w:rPr>
                          <w:rFonts w:ascii="HG丸ｺﾞｼｯｸM-PRO" w:eastAsia="HG丸ｺﾞｼｯｸM-PRO" w:hAnsi="HG丸ｺﾞｼｯｸM-PRO"/>
                          <w:color w:val="000000" w:themeColor="text1"/>
                          <w:sz w:val="32"/>
                          <w:szCs w:val="32"/>
                        </w:rPr>
                      </w:pPr>
                      <w:r w:rsidRPr="00FF301E">
                        <w:rPr>
                          <w:rFonts w:ascii="HG丸ｺﾞｼｯｸM-PRO" w:eastAsia="HG丸ｺﾞｼｯｸM-PRO" w:hAnsi="HG丸ｺﾞｼｯｸM-PRO" w:hint="eastAsia"/>
                          <w:color w:val="000000" w:themeColor="text1"/>
                          <w:sz w:val="32"/>
                          <w:szCs w:val="32"/>
                        </w:rPr>
                        <w:t>自立支援へのきっかけ作り</w:t>
                      </w:r>
                    </w:p>
                  </w:txbxContent>
                </v:textbox>
              </v:shape>
            </w:pict>
          </mc:Fallback>
        </mc:AlternateContent>
      </w:r>
    </w:p>
    <w:p w:rsidR="00FF301E" w:rsidRDefault="00FF301E" w:rsidP="00FF301E"/>
    <w:p w:rsidR="00FF301E" w:rsidRDefault="00FF301E" w:rsidP="00FF301E">
      <w:r>
        <w:rPr>
          <w:rFonts w:hint="eastAsia"/>
        </w:rPr>
        <w:t xml:space="preserve">　　　　　　</w:t>
      </w:r>
    </w:p>
    <w:p w:rsidR="00D56C98" w:rsidRDefault="00D56C98"/>
    <w:p w:rsidR="00B04AD8" w:rsidRPr="00FF301E" w:rsidRDefault="00B04AD8">
      <w:pPr>
        <w:rPr>
          <w:b/>
        </w:rPr>
      </w:pPr>
      <w:r w:rsidRPr="00FF301E">
        <w:rPr>
          <w:rFonts w:hint="eastAsia"/>
          <w:b/>
        </w:rPr>
        <w:t>（２）歩行支援</w:t>
      </w:r>
      <w:r w:rsidR="00A12726">
        <w:rPr>
          <w:rFonts w:hint="eastAsia"/>
          <w:b/>
        </w:rPr>
        <w:t>（運動器機能向上加算）</w:t>
      </w:r>
    </w:p>
    <w:p w:rsidR="00863FD0" w:rsidRDefault="00B04AD8">
      <w:r>
        <w:rPr>
          <w:rFonts w:hint="eastAsia"/>
        </w:rPr>
        <w:t xml:space="preserve">　　</w:t>
      </w:r>
      <w:r w:rsidR="00863FD0">
        <w:rPr>
          <w:rFonts w:hint="eastAsia"/>
        </w:rPr>
        <w:t>○対象者について</w:t>
      </w:r>
    </w:p>
    <w:p w:rsidR="00863FD0" w:rsidRDefault="00874B8B">
      <w:r>
        <w:rPr>
          <w:rFonts w:hint="eastAsia"/>
        </w:rPr>
        <w:t xml:space="preserve">　　・自宅内歩行が自立している</w:t>
      </w:r>
      <w:r w:rsidR="001A0091">
        <w:rPr>
          <w:rFonts w:hint="eastAsia"/>
        </w:rPr>
        <w:t>方</w:t>
      </w:r>
    </w:p>
    <w:p w:rsidR="009D760C" w:rsidRDefault="00874B8B">
      <w:r>
        <w:rPr>
          <w:rFonts w:hint="eastAsia"/>
        </w:rPr>
        <w:t xml:space="preserve">　　・万歩計の管理や記録の記入等の自己管理ができる</w:t>
      </w:r>
      <w:r w:rsidR="001A0091">
        <w:rPr>
          <w:rFonts w:hint="eastAsia"/>
        </w:rPr>
        <w:t>方</w:t>
      </w:r>
    </w:p>
    <w:p w:rsidR="009D760C" w:rsidRDefault="00874B8B">
      <w:r>
        <w:rPr>
          <w:rFonts w:hint="eastAsia"/>
        </w:rPr>
        <w:t xml:space="preserve">　　・自宅周辺の環境が歩行に適している</w:t>
      </w:r>
      <w:r w:rsidR="001A0091">
        <w:rPr>
          <w:rFonts w:hint="eastAsia"/>
        </w:rPr>
        <w:t>方</w:t>
      </w:r>
    </w:p>
    <w:p w:rsidR="00863FD0" w:rsidRDefault="00863FD0"/>
    <w:p w:rsidR="00863FD0" w:rsidRDefault="008116BB">
      <w:r>
        <w:rPr>
          <w:rFonts w:hint="eastAsia"/>
        </w:rPr>
        <w:t xml:space="preserve">　　○万歩計の取り扱い</w:t>
      </w:r>
    </w:p>
    <w:p w:rsidR="008116BB" w:rsidRDefault="008116BB" w:rsidP="008116BB">
      <w:pPr>
        <w:ind w:left="630" w:hangingChars="300" w:hanging="630"/>
      </w:pPr>
      <w:r>
        <w:rPr>
          <w:rFonts w:hint="eastAsia"/>
        </w:rPr>
        <w:t xml:space="preserve">　　・万歩計は使用方法によっては歩数がカウントされないことがあります。</w:t>
      </w:r>
      <w:r w:rsidR="00107505">
        <w:rPr>
          <w:rFonts w:hint="eastAsia"/>
        </w:rPr>
        <w:t>以下に注意する。</w:t>
      </w:r>
    </w:p>
    <w:p w:rsidR="00107505" w:rsidRDefault="00107505" w:rsidP="00107505">
      <w:pPr>
        <w:ind w:left="630" w:hangingChars="300" w:hanging="630"/>
      </w:pPr>
      <w:r>
        <w:rPr>
          <w:rFonts w:hint="eastAsia"/>
        </w:rPr>
        <w:t xml:space="preserve">　　　＜正しく測定できないのはこんなとき＞</w:t>
      </w:r>
    </w:p>
    <w:p w:rsidR="00107505" w:rsidRDefault="00107505" w:rsidP="00107505">
      <w:pPr>
        <w:ind w:left="630" w:hangingChars="300" w:hanging="630"/>
      </w:pPr>
    </w:p>
    <w:p w:rsidR="00107505" w:rsidRDefault="00107505" w:rsidP="00107505">
      <w:pPr>
        <w:ind w:leftChars="300" w:left="630" w:firstLineChars="105" w:firstLine="220"/>
      </w:pPr>
      <w:r>
        <w:rPr>
          <w:rFonts w:hint="eastAsia"/>
        </w:rPr>
        <w:t>①正しく装着していないとき（腰装着タイプの場合）</w:t>
      </w:r>
    </w:p>
    <w:p w:rsidR="00107505" w:rsidRDefault="00107505" w:rsidP="00107505">
      <w:pPr>
        <w:ind w:leftChars="300" w:left="630" w:firstLineChars="105" w:firstLine="220"/>
      </w:pPr>
      <w:r>
        <w:rPr>
          <w:rFonts w:hint="eastAsia"/>
        </w:rPr>
        <w:t>•本体を傾けてベルトに装着したとき。</w:t>
      </w:r>
    </w:p>
    <w:p w:rsidR="00107505" w:rsidRDefault="00107505" w:rsidP="00107505">
      <w:pPr>
        <w:ind w:leftChars="300" w:left="630" w:firstLineChars="105" w:firstLine="220"/>
      </w:pPr>
      <w:r>
        <w:rPr>
          <w:rFonts w:hint="eastAsia"/>
        </w:rPr>
        <w:t>•前ケース（フタ）を閉じていないとき。</w:t>
      </w:r>
    </w:p>
    <w:p w:rsidR="00107505" w:rsidRDefault="00107505" w:rsidP="00107505">
      <w:pPr>
        <w:ind w:leftChars="300" w:left="630" w:firstLineChars="105" w:firstLine="220"/>
      </w:pPr>
    </w:p>
    <w:p w:rsidR="00107505" w:rsidRPr="00107505" w:rsidRDefault="00107505" w:rsidP="00107505">
      <w:pPr>
        <w:ind w:leftChars="300" w:left="630" w:firstLineChars="105" w:firstLine="210"/>
        <w:rPr>
          <w:sz w:val="20"/>
          <w:szCs w:val="20"/>
        </w:rPr>
      </w:pPr>
      <w:r w:rsidRPr="00107505">
        <w:rPr>
          <w:rFonts w:hint="eastAsia"/>
          <w:sz w:val="20"/>
          <w:szCs w:val="20"/>
        </w:rPr>
        <w:t>②本体が地面に対して垂直になっていないとき（ポケット＆バッグ</w:t>
      </w:r>
      <w:r w:rsidRPr="00107505">
        <w:rPr>
          <w:rFonts w:hint="eastAsia"/>
          <w:sz w:val="20"/>
          <w:szCs w:val="20"/>
        </w:rPr>
        <w:t>IN</w:t>
      </w:r>
      <w:r w:rsidRPr="00107505">
        <w:rPr>
          <w:rFonts w:hint="eastAsia"/>
          <w:sz w:val="20"/>
          <w:szCs w:val="20"/>
        </w:rPr>
        <w:t>タイプの場合）</w:t>
      </w:r>
    </w:p>
    <w:p w:rsidR="00107505" w:rsidRDefault="00107505" w:rsidP="00107505">
      <w:pPr>
        <w:ind w:leftChars="300" w:left="630" w:firstLineChars="105" w:firstLine="220"/>
      </w:pPr>
      <w:r>
        <w:rPr>
          <w:rFonts w:hint="eastAsia"/>
        </w:rPr>
        <w:t>•本体の正面が、地面に対して約</w:t>
      </w:r>
      <w:r>
        <w:rPr>
          <w:rFonts w:hint="eastAsia"/>
        </w:rPr>
        <w:t>60</w:t>
      </w:r>
      <w:r>
        <w:rPr>
          <w:rFonts w:hint="eastAsia"/>
        </w:rPr>
        <w:t>度以下や水平のとき。</w:t>
      </w:r>
    </w:p>
    <w:p w:rsidR="00107505" w:rsidRDefault="00107505" w:rsidP="00107505">
      <w:pPr>
        <w:ind w:leftChars="300" w:left="630" w:firstLineChars="105" w:firstLine="220"/>
      </w:pPr>
    </w:p>
    <w:p w:rsidR="00107505" w:rsidRDefault="00107505" w:rsidP="00107505">
      <w:pPr>
        <w:ind w:leftChars="300" w:left="630" w:firstLineChars="105" w:firstLine="220"/>
      </w:pPr>
      <w:r>
        <w:rPr>
          <w:rFonts w:hint="eastAsia"/>
        </w:rPr>
        <w:lastRenderedPageBreak/>
        <w:t>③不規則な歩行やジョギングをしたとき</w:t>
      </w:r>
    </w:p>
    <w:p w:rsidR="00107505" w:rsidRDefault="00107505" w:rsidP="00107505">
      <w:pPr>
        <w:ind w:leftChars="300" w:left="630" w:firstLineChars="105" w:firstLine="220"/>
      </w:pPr>
      <w:r>
        <w:rPr>
          <w:rFonts w:hint="eastAsia"/>
        </w:rPr>
        <w:t>•スリ足のような歩き方。</w:t>
      </w:r>
    </w:p>
    <w:p w:rsidR="00107505" w:rsidRDefault="00107505" w:rsidP="00107505">
      <w:pPr>
        <w:ind w:leftChars="300" w:left="630" w:firstLineChars="105" w:firstLine="220"/>
      </w:pPr>
      <w:r>
        <w:rPr>
          <w:rFonts w:hint="eastAsia"/>
        </w:rPr>
        <w:t>•サンダル、下駄、草履などの履物での歩行。</w:t>
      </w:r>
    </w:p>
    <w:p w:rsidR="00107505" w:rsidRDefault="00107505" w:rsidP="00107505">
      <w:pPr>
        <w:ind w:leftChars="300" w:left="630" w:firstLineChars="105" w:firstLine="220"/>
      </w:pPr>
      <w:r>
        <w:rPr>
          <w:rFonts w:hint="eastAsia"/>
        </w:rPr>
        <w:t>•混雑した街中を歩くときなどの歩行の乱れ。</w:t>
      </w:r>
    </w:p>
    <w:p w:rsidR="00107505" w:rsidRDefault="00107505" w:rsidP="00107505">
      <w:pPr>
        <w:ind w:left="630" w:hangingChars="300" w:hanging="630"/>
      </w:pPr>
    </w:p>
    <w:p w:rsidR="00107505" w:rsidRDefault="00107505" w:rsidP="00107505">
      <w:pPr>
        <w:ind w:leftChars="300" w:left="630" w:firstLineChars="105" w:firstLine="220"/>
      </w:pPr>
      <w:r>
        <w:rPr>
          <w:rFonts w:hint="eastAsia"/>
        </w:rPr>
        <w:t>④上下運動や振動の多い所で使用したとき</w:t>
      </w:r>
    </w:p>
    <w:p w:rsidR="00107505" w:rsidRDefault="00107505" w:rsidP="00107505">
      <w:pPr>
        <w:ind w:leftChars="300" w:left="630" w:firstLineChars="105" w:firstLine="220"/>
      </w:pPr>
      <w:r>
        <w:rPr>
          <w:rFonts w:hint="eastAsia"/>
        </w:rPr>
        <w:t>•立ったり、座ったりする動作。</w:t>
      </w:r>
    </w:p>
    <w:p w:rsidR="00107505" w:rsidRDefault="00107505" w:rsidP="00107505">
      <w:pPr>
        <w:ind w:leftChars="300" w:left="630" w:firstLineChars="105" w:firstLine="220"/>
      </w:pPr>
      <w:r>
        <w:rPr>
          <w:rFonts w:hint="eastAsia"/>
        </w:rPr>
        <w:t>•ウォーキング以外のスポーツ。</w:t>
      </w:r>
    </w:p>
    <w:p w:rsidR="00107505" w:rsidRDefault="00107505" w:rsidP="00107505">
      <w:pPr>
        <w:ind w:leftChars="300" w:left="630" w:firstLineChars="105" w:firstLine="220"/>
      </w:pPr>
      <w:r>
        <w:rPr>
          <w:rFonts w:hint="eastAsia"/>
        </w:rPr>
        <w:t>•階段や急斜面の昇り降り。</w:t>
      </w:r>
    </w:p>
    <w:p w:rsidR="00107505" w:rsidRDefault="00107505" w:rsidP="00107505">
      <w:pPr>
        <w:ind w:leftChars="300" w:left="630" w:firstLineChars="105" w:firstLine="220"/>
      </w:pPr>
      <w:r>
        <w:rPr>
          <w:rFonts w:hint="eastAsia"/>
        </w:rPr>
        <w:t>•乗り物に乗車中の上下振動または横ブレ。</w:t>
      </w:r>
    </w:p>
    <w:p w:rsidR="008116BB" w:rsidRDefault="008116BB" w:rsidP="008116BB">
      <w:pPr>
        <w:ind w:left="630" w:hangingChars="300" w:hanging="630"/>
      </w:pPr>
    </w:p>
    <w:p w:rsidR="00B04AD8" w:rsidRDefault="00B04AD8" w:rsidP="00863FD0">
      <w:pPr>
        <w:ind w:firstLineChars="200" w:firstLine="420"/>
      </w:pPr>
      <w:r>
        <w:rPr>
          <w:rFonts w:hint="eastAsia"/>
        </w:rPr>
        <w:t>○目標設定について</w:t>
      </w:r>
    </w:p>
    <w:p w:rsidR="00B04AD8" w:rsidRDefault="00B04AD8">
      <w:r>
        <w:rPr>
          <w:rFonts w:hint="eastAsia"/>
        </w:rPr>
        <w:t xml:space="preserve">　　　①通所型サービス参加初回に実施について</w:t>
      </w:r>
      <w:r w:rsidR="001A0091">
        <w:rPr>
          <w:rFonts w:hint="eastAsia"/>
        </w:rPr>
        <w:t>本人へ</w:t>
      </w:r>
      <w:r>
        <w:rPr>
          <w:rFonts w:hint="eastAsia"/>
        </w:rPr>
        <w:t>説明</w:t>
      </w:r>
    </w:p>
    <w:p w:rsidR="00B04AD8" w:rsidRDefault="00DF5D26">
      <w:r>
        <w:rPr>
          <w:rFonts w:hint="eastAsia"/>
        </w:rPr>
        <w:t xml:space="preserve">　　　②参加２週</w:t>
      </w:r>
      <w:r w:rsidR="00B04AD8">
        <w:rPr>
          <w:rFonts w:hint="eastAsia"/>
        </w:rPr>
        <w:t>目に目標設定を行う</w:t>
      </w:r>
    </w:p>
    <w:p w:rsidR="00B04AD8" w:rsidRDefault="00DF5D26" w:rsidP="00B04AD8">
      <w:pPr>
        <w:ind w:left="840" w:hangingChars="400" w:hanging="840"/>
      </w:pPr>
      <w:r>
        <w:rPr>
          <w:rFonts w:hint="eastAsia"/>
        </w:rPr>
        <w:t xml:space="preserve">　　　　設定方法：初回参加から１週間</w:t>
      </w:r>
      <w:r w:rsidR="00B04AD8">
        <w:rPr>
          <w:rFonts w:hint="eastAsia"/>
        </w:rPr>
        <w:t>までの１日の歩数を平均し、ここから目標歩数を設定する。</w:t>
      </w:r>
    </w:p>
    <w:p w:rsidR="00DF5D26" w:rsidRDefault="00DF5D26" w:rsidP="00DF5D26">
      <w:pPr>
        <w:ind w:left="840" w:hangingChars="400" w:hanging="840"/>
      </w:pPr>
      <w:r>
        <w:rPr>
          <w:rFonts w:hint="eastAsia"/>
        </w:rPr>
        <w:t xml:space="preserve">　　　③１か月目はこの目標歩数とし、２か月目は</w:t>
      </w:r>
      <w:r>
        <w:rPr>
          <w:rFonts w:hint="eastAsia"/>
        </w:rPr>
        <w:t>10</w:t>
      </w:r>
      <w:r>
        <w:rPr>
          <w:rFonts w:hint="eastAsia"/>
        </w:rPr>
        <w:t>％アップの歩数を目標歩数として歩行する。</w:t>
      </w:r>
    </w:p>
    <w:p w:rsidR="00DF5D26" w:rsidRDefault="00DF5D26" w:rsidP="00DF5D26">
      <w:pPr>
        <w:ind w:left="840" w:hangingChars="400" w:hanging="840"/>
      </w:pPr>
      <w:r>
        <w:rPr>
          <w:rFonts w:hint="eastAsia"/>
        </w:rPr>
        <w:t xml:space="preserve">　　　④アップする期間は、本人の歩行状況に応じて適切な歩数まで到達すれば、維持期へ移行する。</w:t>
      </w:r>
    </w:p>
    <w:p w:rsidR="00B04AD8" w:rsidRPr="00B04AD8" w:rsidRDefault="00B04AD8" w:rsidP="00B04AD8">
      <w:pPr>
        <w:ind w:left="840" w:hangingChars="400" w:hanging="840"/>
      </w:pPr>
      <w:r>
        <w:rPr>
          <w:rFonts w:hint="eastAsia"/>
        </w:rPr>
        <w:t xml:space="preserve">　　　　≪例≫</w:t>
      </w:r>
    </w:p>
    <w:p w:rsidR="00B04AD8" w:rsidRDefault="00B04AD8">
      <w:r>
        <w:rPr>
          <w:rFonts w:hint="eastAsia"/>
        </w:rPr>
        <w:t xml:space="preserve">　　　　１日目：</w:t>
      </w:r>
      <w:r>
        <w:rPr>
          <w:rFonts w:hint="eastAsia"/>
        </w:rPr>
        <w:t>1</w:t>
      </w:r>
      <w:r w:rsidR="00D56C98">
        <w:rPr>
          <w:rFonts w:hint="eastAsia"/>
        </w:rPr>
        <w:t>,</w:t>
      </w:r>
      <w:r>
        <w:rPr>
          <w:rFonts w:hint="eastAsia"/>
        </w:rPr>
        <w:t>500</w:t>
      </w:r>
      <w:r>
        <w:rPr>
          <w:rFonts w:hint="eastAsia"/>
        </w:rPr>
        <w:t>歩</w:t>
      </w:r>
      <w:r w:rsidR="00874B8B">
        <w:rPr>
          <w:rFonts w:hint="eastAsia"/>
        </w:rPr>
        <w:t xml:space="preserve">　　</w:t>
      </w:r>
      <w:r w:rsidR="00874B8B" w:rsidRPr="00874B8B">
        <w:rPr>
          <w:rFonts w:hint="eastAsia"/>
        </w:rPr>
        <w:t>１日目：</w:t>
      </w:r>
      <w:r w:rsidR="00874B8B" w:rsidRPr="00874B8B">
        <w:rPr>
          <w:rFonts w:hint="eastAsia"/>
        </w:rPr>
        <w:t>1,500</w:t>
      </w:r>
      <w:r w:rsidR="00874B8B" w:rsidRPr="00874B8B">
        <w:rPr>
          <w:rFonts w:hint="eastAsia"/>
        </w:rPr>
        <w:t>歩</w:t>
      </w:r>
    </w:p>
    <w:p w:rsidR="00B04AD8" w:rsidRDefault="00B04AD8">
      <w:r>
        <w:rPr>
          <w:rFonts w:hint="eastAsia"/>
        </w:rPr>
        <w:t xml:space="preserve">　　　　２日目</w:t>
      </w:r>
      <w:r w:rsidR="00D56C98">
        <w:rPr>
          <w:rFonts w:hint="eastAsia"/>
        </w:rPr>
        <w:t>：</w:t>
      </w:r>
      <w:r w:rsidR="00D56C98">
        <w:rPr>
          <w:rFonts w:hint="eastAsia"/>
        </w:rPr>
        <w:t>1,700</w:t>
      </w:r>
      <w:r w:rsidR="00D56C98">
        <w:rPr>
          <w:rFonts w:hint="eastAsia"/>
        </w:rPr>
        <w:t>歩</w:t>
      </w:r>
      <w:r w:rsidR="00874B8B">
        <w:rPr>
          <w:rFonts w:hint="eastAsia"/>
        </w:rPr>
        <w:t xml:space="preserve">　　</w:t>
      </w:r>
      <w:r w:rsidR="00874B8B" w:rsidRPr="00874B8B">
        <w:rPr>
          <w:rFonts w:hint="eastAsia"/>
        </w:rPr>
        <w:t>１日目：</w:t>
      </w:r>
      <w:r w:rsidR="00874B8B">
        <w:rPr>
          <w:rFonts w:hint="eastAsia"/>
        </w:rPr>
        <w:t>1,4</w:t>
      </w:r>
      <w:r w:rsidR="00874B8B" w:rsidRPr="00874B8B">
        <w:rPr>
          <w:rFonts w:hint="eastAsia"/>
        </w:rPr>
        <w:t>00</w:t>
      </w:r>
      <w:r w:rsidR="00874B8B" w:rsidRPr="00874B8B">
        <w:rPr>
          <w:rFonts w:hint="eastAsia"/>
        </w:rPr>
        <w:t>歩</w:t>
      </w:r>
    </w:p>
    <w:p w:rsidR="00D56C98" w:rsidRDefault="00D56C98">
      <w:r>
        <w:rPr>
          <w:rFonts w:hint="eastAsia"/>
        </w:rPr>
        <w:t xml:space="preserve">　　　　３日目：</w:t>
      </w:r>
      <w:r>
        <w:rPr>
          <w:rFonts w:hint="eastAsia"/>
        </w:rPr>
        <w:t>2,000</w:t>
      </w:r>
      <w:r>
        <w:rPr>
          <w:rFonts w:hint="eastAsia"/>
        </w:rPr>
        <w:t>歩</w:t>
      </w:r>
      <w:r w:rsidR="00874B8B">
        <w:rPr>
          <w:rFonts w:hint="eastAsia"/>
        </w:rPr>
        <w:t xml:space="preserve">　　</w:t>
      </w:r>
      <w:r w:rsidR="00874B8B" w:rsidRPr="00874B8B">
        <w:rPr>
          <w:rFonts w:hint="eastAsia"/>
        </w:rPr>
        <w:t>１日目：</w:t>
      </w:r>
      <w:r w:rsidR="00874B8B" w:rsidRPr="00874B8B">
        <w:rPr>
          <w:rFonts w:hint="eastAsia"/>
        </w:rPr>
        <w:t>1,500</w:t>
      </w:r>
      <w:r w:rsidR="00874B8B" w:rsidRPr="00874B8B">
        <w:rPr>
          <w:rFonts w:hint="eastAsia"/>
        </w:rPr>
        <w:t>歩</w:t>
      </w:r>
    </w:p>
    <w:p w:rsidR="00D56C98" w:rsidRDefault="00D56C98">
      <w:r>
        <w:rPr>
          <w:rFonts w:hint="eastAsia"/>
        </w:rPr>
        <w:t xml:space="preserve">　　　　４日目：</w:t>
      </w:r>
      <w:r>
        <w:rPr>
          <w:rFonts w:hint="eastAsia"/>
        </w:rPr>
        <w:t>1,400</w:t>
      </w:r>
      <w:r>
        <w:rPr>
          <w:rFonts w:hint="eastAsia"/>
        </w:rPr>
        <w:t>歩</w:t>
      </w:r>
      <w:r w:rsidR="00874B8B">
        <w:rPr>
          <w:rFonts w:hint="eastAsia"/>
        </w:rPr>
        <w:t xml:space="preserve">　　</w:t>
      </w:r>
    </w:p>
    <w:p w:rsidR="00D56C98" w:rsidRDefault="00D56C98">
      <w:pPr>
        <w:rPr>
          <w:bdr w:val="single" w:sz="4" w:space="0" w:color="auto"/>
        </w:rPr>
      </w:pPr>
      <w:r>
        <w:rPr>
          <w:rFonts w:hint="eastAsia"/>
        </w:rPr>
        <w:t xml:space="preserve">　　　　</w:t>
      </w:r>
      <w:r w:rsidRPr="00D56C98">
        <w:rPr>
          <w:rFonts w:hint="eastAsia"/>
          <w:bdr w:val="single" w:sz="4" w:space="0" w:color="auto"/>
          <w:shd w:val="pct15" w:color="auto" w:fill="FFFFFF"/>
        </w:rPr>
        <w:t>平　均：</w:t>
      </w:r>
      <w:r w:rsidR="00874B8B">
        <w:rPr>
          <w:rFonts w:hint="eastAsia"/>
          <w:bdr w:val="single" w:sz="4" w:space="0" w:color="auto"/>
          <w:shd w:val="pct15" w:color="auto" w:fill="FFFFFF"/>
        </w:rPr>
        <w:t>1,57</w:t>
      </w:r>
      <w:r w:rsidRPr="00D56C98">
        <w:rPr>
          <w:rFonts w:hint="eastAsia"/>
          <w:bdr w:val="single" w:sz="4" w:space="0" w:color="auto"/>
          <w:shd w:val="pct15" w:color="auto" w:fill="FFFFFF"/>
        </w:rPr>
        <w:t>0</w:t>
      </w:r>
      <w:r w:rsidRPr="00D56C98">
        <w:rPr>
          <w:rFonts w:hint="eastAsia"/>
          <w:bdr w:val="single" w:sz="4" w:space="0" w:color="auto"/>
          <w:shd w:val="pct15" w:color="auto" w:fill="FFFFFF"/>
        </w:rPr>
        <w:t>歩</w:t>
      </w:r>
    </w:p>
    <w:p w:rsidR="00D56C98" w:rsidRDefault="00D56C98">
      <w:r>
        <w:rPr>
          <w:rFonts w:hint="eastAsia"/>
        </w:rPr>
        <w:t xml:space="preserve">       </w:t>
      </w:r>
      <w:r w:rsidRPr="00D56C98">
        <w:rPr>
          <w:rFonts w:hint="eastAsia"/>
        </w:rPr>
        <w:t>この</w:t>
      </w:r>
      <w:r>
        <w:rPr>
          <w:rFonts w:hint="eastAsia"/>
        </w:rPr>
        <w:t>歩数を基準に、サービス開始月を</w:t>
      </w:r>
      <w:r w:rsidR="00874B8B">
        <w:rPr>
          <w:rFonts w:hint="eastAsia"/>
        </w:rPr>
        <w:t>1,57</w:t>
      </w:r>
      <w:r w:rsidRPr="00D56C98">
        <w:rPr>
          <w:rFonts w:hint="eastAsia"/>
        </w:rPr>
        <w:t>0</w:t>
      </w:r>
      <w:r w:rsidRPr="00D56C98">
        <w:rPr>
          <w:rFonts w:hint="eastAsia"/>
        </w:rPr>
        <w:t>歩</w:t>
      </w:r>
      <w:r>
        <w:rPr>
          <w:rFonts w:hint="eastAsia"/>
        </w:rPr>
        <w:t>とし、</w:t>
      </w:r>
      <w:r w:rsidR="00B06781">
        <w:rPr>
          <w:rFonts w:hint="eastAsia"/>
        </w:rPr>
        <w:t>１か月歩行する。</w:t>
      </w:r>
    </w:p>
    <w:p w:rsidR="00D56C98" w:rsidRDefault="00D56C98" w:rsidP="00D56C98">
      <w:pPr>
        <w:ind w:firstLineChars="350" w:firstLine="735"/>
      </w:pPr>
      <w:r>
        <w:rPr>
          <w:rFonts w:hint="eastAsia"/>
        </w:rPr>
        <w:t>翌月</w:t>
      </w:r>
      <w:r w:rsidR="00B06781">
        <w:rPr>
          <w:rFonts w:hint="eastAsia"/>
        </w:rPr>
        <w:t>は</w:t>
      </w:r>
      <w:r w:rsidR="00874B8B">
        <w:rPr>
          <w:rFonts w:hint="eastAsia"/>
        </w:rPr>
        <w:t>1,57</w:t>
      </w:r>
      <w:r w:rsidRPr="00D56C98">
        <w:rPr>
          <w:rFonts w:hint="eastAsia"/>
        </w:rPr>
        <w:t>0</w:t>
      </w:r>
      <w:r w:rsidRPr="00D56C98">
        <w:rPr>
          <w:rFonts w:hint="eastAsia"/>
        </w:rPr>
        <w:t>歩</w:t>
      </w:r>
      <w:r>
        <w:rPr>
          <w:rFonts w:hint="eastAsia"/>
        </w:rPr>
        <w:t>＋</w:t>
      </w:r>
      <w:r w:rsidR="00874B8B">
        <w:rPr>
          <w:rFonts w:hint="eastAsia"/>
        </w:rPr>
        <w:t>157</w:t>
      </w:r>
      <w:r>
        <w:rPr>
          <w:rFonts w:hint="eastAsia"/>
        </w:rPr>
        <w:t>歩（</w:t>
      </w:r>
      <w:r>
        <w:rPr>
          <w:rFonts w:hint="eastAsia"/>
        </w:rPr>
        <w:t>10</w:t>
      </w:r>
      <w:r>
        <w:rPr>
          <w:rFonts w:hint="eastAsia"/>
        </w:rPr>
        <w:t>％）＝</w:t>
      </w:r>
      <w:r w:rsidR="00874B8B">
        <w:rPr>
          <w:rFonts w:hint="eastAsia"/>
          <w:bdr w:val="single" w:sz="4" w:space="0" w:color="auto"/>
          <w:shd w:val="pct15" w:color="auto" w:fill="FFFFFF"/>
        </w:rPr>
        <w:t>1,727</w:t>
      </w:r>
      <w:r w:rsidRPr="00D56C98">
        <w:rPr>
          <w:rFonts w:hint="eastAsia"/>
          <w:bdr w:val="single" w:sz="4" w:space="0" w:color="auto"/>
          <w:shd w:val="pct15" w:color="auto" w:fill="FFFFFF"/>
        </w:rPr>
        <w:t>歩</w:t>
      </w:r>
      <w:r w:rsidRPr="00D56C98">
        <w:rPr>
          <w:rFonts w:hint="eastAsia"/>
        </w:rPr>
        <w:t>を目標とする</w:t>
      </w:r>
      <w:r>
        <w:rPr>
          <w:rFonts w:hint="eastAsia"/>
        </w:rPr>
        <w:t>。</w:t>
      </w:r>
    </w:p>
    <w:p w:rsidR="00D56C98" w:rsidRDefault="00D56C98" w:rsidP="00D56C98">
      <w:pPr>
        <w:ind w:firstLineChars="350" w:firstLine="735"/>
      </w:pPr>
      <w:r w:rsidRPr="00D56C98">
        <w:rPr>
          <w:rFonts w:hint="eastAsia"/>
          <w:u w:val="wave"/>
        </w:rPr>
        <w:t>10</w:t>
      </w:r>
      <w:r w:rsidRPr="00D56C98">
        <w:rPr>
          <w:rFonts w:hint="eastAsia"/>
          <w:u w:val="wave"/>
        </w:rPr>
        <w:t>％アップ</w:t>
      </w:r>
      <w:r w:rsidR="00B06781">
        <w:rPr>
          <w:rFonts w:hint="eastAsia"/>
        </w:rPr>
        <w:t>については、本人と相談して</w:t>
      </w:r>
      <w:r>
        <w:rPr>
          <w:rFonts w:hint="eastAsia"/>
        </w:rPr>
        <w:t>設定する。</w:t>
      </w:r>
      <w:r w:rsidR="00B06781">
        <w:rPr>
          <w:rFonts w:hint="eastAsia"/>
        </w:rPr>
        <w:t>※</w:t>
      </w:r>
    </w:p>
    <w:p w:rsidR="00D56C98" w:rsidRDefault="00863FD0" w:rsidP="00D56C98">
      <w:r>
        <w:rPr>
          <w:rFonts w:hint="eastAsia"/>
        </w:rPr>
        <w:t xml:space="preserve">　　</w:t>
      </w:r>
      <w:r w:rsidR="00874B8B">
        <w:rPr>
          <w:rFonts w:hint="eastAsia"/>
        </w:rPr>
        <w:t xml:space="preserve">　　</w:t>
      </w:r>
    </w:p>
    <w:p w:rsidR="00874B8B" w:rsidRDefault="00874B8B" w:rsidP="00874B8B">
      <w:pPr>
        <w:ind w:left="1050" w:hangingChars="500" w:hanging="1050"/>
      </w:pPr>
      <w:r>
        <w:rPr>
          <w:rFonts w:hint="eastAsia"/>
        </w:rPr>
        <w:t xml:space="preserve">　　　　※本人の心身の状態に応じて柔軟な対応が必要。</w:t>
      </w:r>
      <w:r w:rsidR="00DF5D26">
        <w:rPr>
          <w:rFonts w:hint="eastAsia"/>
        </w:rPr>
        <w:t>目標歩数</w:t>
      </w:r>
      <w:r>
        <w:rPr>
          <w:rFonts w:hint="eastAsia"/>
        </w:rPr>
        <w:t>をアップせずに維持することが、</w:t>
      </w:r>
      <w:r w:rsidR="00DF5D26">
        <w:rPr>
          <w:rFonts w:hint="eastAsia"/>
        </w:rPr>
        <w:t>歩行の</w:t>
      </w:r>
      <w:r>
        <w:rPr>
          <w:rFonts w:hint="eastAsia"/>
        </w:rPr>
        <w:t>継続することにつながるのであれば、</w:t>
      </w:r>
      <w:r w:rsidR="00DF5D26">
        <w:rPr>
          <w:rFonts w:hint="eastAsia"/>
        </w:rPr>
        <w:t>目標歩数をアップしなくてもいい。</w:t>
      </w:r>
    </w:p>
    <w:p w:rsidR="00B06781" w:rsidRDefault="00B06781" w:rsidP="00874B8B">
      <w:pPr>
        <w:ind w:left="1050" w:hangingChars="500" w:hanging="1050"/>
      </w:pPr>
      <w:r>
        <w:rPr>
          <w:rFonts w:hint="eastAsia"/>
        </w:rPr>
        <w:t xml:space="preserve">　　　⑤自宅内歩行もカウントする。生活活動も運動に入れることで歩行を促し、意欲の継続につなげる。</w:t>
      </w:r>
    </w:p>
    <w:p w:rsidR="00B06781" w:rsidRDefault="00B06781" w:rsidP="00874B8B">
      <w:pPr>
        <w:ind w:left="1050" w:hangingChars="500" w:hanging="1050"/>
      </w:pPr>
    </w:p>
    <w:p w:rsidR="008116BB" w:rsidRDefault="008116BB" w:rsidP="00D56C98">
      <w:r>
        <w:rPr>
          <w:rFonts w:hint="eastAsia"/>
        </w:rPr>
        <w:lastRenderedPageBreak/>
        <w:t xml:space="preserve">　　○健康記録用紙の活用</w:t>
      </w:r>
    </w:p>
    <w:p w:rsidR="008116BB" w:rsidRDefault="008116BB" w:rsidP="00D56C98">
      <w:r>
        <w:rPr>
          <w:rFonts w:hint="eastAsia"/>
        </w:rPr>
        <w:t xml:space="preserve">　　・別紙記入例参照</w:t>
      </w:r>
    </w:p>
    <w:p w:rsidR="008116BB" w:rsidRDefault="008116BB" w:rsidP="008116BB">
      <w:pPr>
        <w:ind w:left="630" w:hangingChars="300" w:hanging="630"/>
      </w:pPr>
      <w:r>
        <w:rPr>
          <w:rFonts w:hint="eastAsia"/>
        </w:rPr>
        <w:t xml:space="preserve">　　・注意点：用紙を持参忘れされたときは、口頭で聞き取りおよびアドバイスをおこない、次回持参時に記入する。</w:t>
      </w:r>
    </w:p>
    <w:p w:rsidR="008116BB" w:rsidRDefault="008116BB" w:rsidP="008116BB">
      <w:pPr>
        <w:ind w:left="630" w:hangingChars="300" w:hanging="630"/>
      </w:pPr>
    </w:p>
    <w:p w:rsidR="00DF5D26" w:rsidRDefault="00866727" w:rsidP="008116BB">
      <w:pPr>
        <w:ind w:left="630" w:hangingChars="300" w:hanging="630"/>
      </w:pPr>
      <w:r>
        <w:rPr>
          <w:rFonts w:hint="eastAsia"/>
        </w:rPr>
        <w:t xml:space="preserve">　　○</w:t>
      </w:r>
      <w:r w:rsidRPr="00866727">
        <w:rPr>
          <w:rFonts w:hint="eastAsia"/>
        </w:rPr>
        <w:t>実施の可否について主治医への相談が必要と考える状況</w:t>
      </w:r>
    </w:p>
    <w:p w:rsidR="00866727" w:rsidRDefault="00866727" w:rsidP="00866727">
      <w:r>
        <w:rPr>
          <w:rFonts w:hint="eastAsia"/>
        </w:rPr>
        <w:t xml:space="preserve">　　・コントロールされていない心疾患・不整脈があるもの</w:t>
      </w:r>
    </w:p>
    <w:p w:rsidR="00866727" w:rsidRDefault="00866727" w:rsidP="00866727">
      <w:pPr>
        <w:ind w:leftChars="202" w:left="634" w:hangingChars="100" w:hanging="210"/>
      </w:pPr>
      <w:r>
        <w:rPr>
          <w:rFonts w:hint="eastAsia"/>
        </w:rPr>
        <w:t>・収縮期血圧</w:t>
      </w:r>
      <w:r>
        <w:rPr>
          <w:rFonts w:hint="eastAsia"/>
        </w:rPr>
        <w:t>180</w:t>
      </w:r>
      <w:r>
        <w:rPr>
          <w:rFonts w:hint="eastAsia"/>
        </w:rPr>
        <w:t>㎜</w:t>
      </w:r>
      <w:r>
        <w:rPr>
          <w:rFonts w:hint="eastAsia"/>
        </w:rPr>
        <w:t>Hg</w:t>
      </w:r>
      <w:r>
        <w:rPr>
          <w:rFonts w:hint="eastAsia"/>
        </w:rPr>
        <w:t>以上のものや</w:t>
      </w:r>
      <w:r>
        <w:rPr>
          <w:rFonts w:hint="eastAsia"/>
        </w:rPr>
        <w:t>180</w:t>
      </w:r>
      <w:r>
        <w:rPr>
          <w:rFonts w:hint="eastAsia"/>
        </w:rPr>
        <w:t>㎜Ｈｇ未満であっても状態等によって検討が必要なもの</w:t>
      </w:r>
    </w:p>
    <w:p w:rsidR="00866727" w:rsidRDefault="00866727" w:rsidP="00866727">
      <w:pPr>
        <w:ind w:firstLineChars="202" w:firstLine="424"/>
      </w:pPr>
      <w:r>
        <w:rPr>
          <w:rFonts w:hint="eastAsia"/>
        </w:rPr>
        <w:t>・急性期の関節痛、関節炎、神経症状のあるもの</w:t>
      </w:r>
    </w:p>
    <w:p w:rsidR="00866727" w:rsidRDefault="00866727" w:rsidP="00866727">
      <w:pPr>
        <w:ind w:firstLineChars="202" w:firstLine="424"/>
      </w:pPr>
      <w:r>
        <w:rPr>
          <w:rFonts w:hint="eastAsia"/>
        </w:rPr>
        <w:t>・慢性閉塞性肺疾患（慢性気管支炎・肺気腫など）息切れ、呼吸困難があるもの</w:t>
      </w:r>
    </w:p>
    <w:p w:rsidR="00866727" w:rsidRDefault="00866727" w:rsidP="00866727">
      <w:pPr>
        <w:ind w:firstLineChars="202" w:firstLine="424"/>
      </w:pPr>
      <w:r>
        <w:rPr>
          <w:rFonts w:hint="eastAsia"/>
        </w:rPr>
        <w:t>・急性期の肺炎、肝炎などの炎症があるもの</w:t>
      </w:r>
    </w:p>
    <w:p w:rsidR="00866727" w:rsidRDefault="00866727" w:rsidP="00866727">
      <w:pPr>
        <w:ind w:firstLineChars="202" w:firstLine="424"/>
      </w:pPr>
      <w:r>
        <w:rPr>
          <w:rFonts w:hint="eastAsia"/>
        </w:rPr>
        <w:t>・骨粗鬆症で脊椎圧迫骨折のあるもの。</w:t>
      </w:r>
    </w:p>
    <w:p w:rsidR="00866727" w:rsidRDefault="00866727" w:rsidP="00866727">
      <w:pPr>
        <w:ind w:firstLineChars="202" w:firstLine="424"/>
      </w:pPr>
      <w:r>
        <w:rPr>
          <w:rFonts w:hint="eastAsia"/>
        </w:rPr>
        <w:t>・認知機能の低下によりプログラムの実施に支障を来すもの</w:t>
      </w:r>
    </w:p>
    <w:p w:rsidR="00DF5D26" w:rsidRDefault="00866727" w:rsidP="00866727">
      <w:pPr>
        <w:ind w:leftChars="202" w:left="634" w:hangingChars="100" w:hanging="210"/>
      </w:pPr>
      <w:r>
        <w:rPr>
          <w:rFonts w:hint="eastAsia"/>
        </w:rPr>
        <w:t>・その他、本サービス実施によって健康状態が急変、あるいは悪化する可能性のあるもの</w:t>
      </w:r>
    </w:p>
    <w:p w:rsidR="00866727" w:rsidRDefault="00866727" w:rsidP="0008640A"/>
    <w:p w:rsidR="00866727" w:rsidRDefault="00066AB0" w:rsidP="0008640A">
      <w:r>
        <w:rPr>
          <w:rFonts w:hint="eastAsia"/>
        </w:rPr>
        <w:t xml:space="preserve">　　○</w:t>
      </w:r>
      <w:r w:rsidRPr="00066AB0">
        <w:rPr>
          <w:rFonts w:hint="eastAsia"/>
        </w:rPr>
        <w:t>プログラム実施前の留意点</w:t>
      </w:r>
    </w:p>
    <w:p w:rsidR="00066AB0" w:rsidRDefault="00066AB0" w:rsidP="00066AB0">
      <w:r>
        <w:rPr>
          <w:rFonts w:hint="eastAsia"/>
        </w:rPr>
        <w:t xml:space="preserve">　　・安静時に収縮期血圧</w:t>
      </w:r>
      <w:r>
        <w:rPr>
          <w:rFonts w:hint="eastAsia"/>
        </w:rPr>
        <w:t>180</w:t>
      </w:r>
      <w:r>
        <w:rPr>
          <w:rFonts w:hint="eastAsia"/>
        </w:rPr>
        <w:t>㎜Ｈｇ以上、または拡張期血圧</w:t>
      </w:r>
      <w:r>
        <w:rPr>
          <w:rFonts w:hint="eastAsia"/>
        </w:rPr>
        <w:t>110</w:t>
      </w:r>
      <w:r>
        <w:rPr>
          <w:rFonts w:hint="eastAsia"/>
        </w:rPr>
        <w:t>㎜Ｈｇ以上である場合</w:t>
      </w:r>
    </w:p>
    <w:p w:rsidR="00066AB0" w:rsidRDefault="00066AB0" w:rsidP="00066AB0">
      <w:pPr>
        <w:ind w:firstLineChars="200" w:firstLine="420"/>
      </w:pPr>
      <w:r>
        <w:rPr>
          <w:rFonts w:hint="eastAsia"/>
        </w:rPr>
        <w:t>・安静時脈拍が</w:t>
      </w:r>
      <w:r>
        <w:rPr>
          <w:rFonts w:hint="eastAsia"/>
        </w:rPr>
        <w:t>110</w:t>
      </w:r>
      <w:r>
        <w:rPr>
          <w:rFonts w:hint="eastAsia"/>
        </w:rPr>
        <w:t>拍／分以上または</w:t>
      </w:r>
      <w:r>
        <w:rPr>
          <w:rFonts w:hint="eastAsia"/>
        </w:rPr>
        <w:t>50</w:t>
      </w:r>
      <w:r>
        <w:rPr>
          <w:rFonts w:hint="eastAsia"/>
        </w:rPr>
        <w:t>拍／分以下の場合</w:t>
      </w:r>
    </w:p>
    <w:p w:rsidR="00066AB0" w:rsidRDefault="00066AB0" w:rsidP="00066AB0">
      <w:pPr>
        <w:ind w:firstLineChars="200" w:firstLine="420"/>
      </w:pPr>
      <w:r>
        <w:rPr>
          <w:rFonts w:hint="eastAsia"/>
        </w:rPr>
        <w:t>・いつもと異なる脈の不正がある場合</w:t>
      </w:r>
    </w:p>
    <w:p w:rsidR="00066AB0" w:rsidRDefault="00066AB0" w:rsidP="00066AB0">
      <w:pPr>
        <w:ind w:firstLineChars="200" w:firstLine="420"/>
      </w:pPr>
      <w:r>
        <w:rPr>
          <w:rFonts w:hint="eastAsia"/>
        </w:rPr>
        <w:t>・関節痛など慢性的な症状の悪化</w:t>
      </w:r>
    </w:p>
    <w:p w:rsidR="00866727" w:rsidRDefault="00066AB0" w:rsidP="00066AB0">
      <w:pPr>
        <w:ind w:firstLineChars="200" w:firstLine="420"/>
      </w:pPr>
      <w:r>
        <w:rPr>
          <w:rFonts w:hint="eastAsia"/>
        </w:rPr>
        <w:t>・その他、体調不良など自覚症状を訴える場合</w:t>
      </w:r>
    </w:p>
    <w:p w:rsidR="00866727" w:rsidRDefault="00866727" w:rsidP="0008640A"/>
    <w:p w:rsidR="00866727" w:rsidRDefault="00066AB0" w:rsidP="0008640A">
      <w:r>
        <w:rPr>
          <w:rFonts w:hint="eastAsia"/>
        </w:rPr>
        <w:t xml:space="preserve">　　○</w:t>
      </w:r>
      <w:r w:rsidRPr="00066AB0">
        <w:rPr>
          <w:rFonts w:hint="eastAsia"/>
        </w:rPr>
        <w:t>参加者への事前注意</w:t>
      </w:r>
    </w:p>
    <w:p w:rsidR="00066AB0" w:rsidRDefault="00066AB0" w:rsidP="00066AB0">
      <w:r>
        <w:rPr>
          <w:rFonts w:hint="eastAsia"/>
        </w:rPr>
        <w:t xml:space="preserve">　　・運動直前の食事は避ける</w:t>
      </w:r>
    </w:p>
    <w:p w:rsidR="00066AB0" w:rsidRDefault="00066AB0" w:rsidP="00066AB0">
      <w:pPr>
        <w:ind w:firstLineChars="200" w:firstLine="420"/>
      </w:pPr>
      <w:r>
        <w:rPr>
          <w:rFonts w:hint="eastAsia"/>
        </w:rPr>
        <w:t>・水分補給を十分に行う</w:t>
      </w:r>
    </w:p>
    <w:p w:rsidR="00066AB0" w:rsidRDefault="00066AB0" w:rsidP="00066AB0">
      <w:pPr>
        <w:ind w:firstLineChars="200" w:firstLine="420"/>
      </w:pPr>
      <w:r>
        <w:rPr>
          <w:rFonts w:hint="eastAsia"/>
        </w:rPr>
        <w:t>・睡眠不足・体調不良時には無理をしない</w:t>
      </w:r>
    </w:p>
    <w:p w:rsidR="00866727" w:rsidRDefault="00066AB0" w:rsidP="00066AB0">
      <w:pPr>
        <w:ind w:firstLineChars="200" w:firstLine="420"/>
      </w:pPr>
      <w:r>
        <w:rPr>
          <w:rFonts w:hint="eastAsia"/>
        </w:rPr>
        <w:t>・身体になんらかの変調がある場合にはスタッフに伝える</w:t>
      </w:r>
    </w:p>
    <w:p w:rsidR="00866727" w:rsidRDefault="00866727" w:rsidP="0008640A"/>
    <w:p w:rsidR="00066AB0" w:rsidRPr="00866727" w:rsidRDefault="00066AB0" w:rsidP="0008640A"/>
    <w:p w:rsidR="00D56C98" w:rsidRPr="00866727" w:rsidRDefault="00D56C98" w:rsidP="00D56C98">
      <w:pPr>
        <w:rPr>
          <w:b/>
        </w:rPr>
      </w:pPr>
      <w:r w:rsidRPr="00866727">
        <w:rPr>
          <w:rFonts w:hint="eastAsia"/>
          <w:b/>
        </w:rPr>
        <w:t>（３）評価方法</w:t>
      </w:r>
    </w:p>
    <w:p w:rsidR="00D56C98" w:rsidRPr="0008640A" w:rsidRDefault="00D56C98" w:rsidP="00D56C98">
      <w:r>
        <w:rPr>
          <w:rFonts w:hint="eastAsia"/>
        </w:rPr>
        <w:t xml:space="preserve">　　○所定様式（別紙）を使用し、３か月ごとに評価する。</w:t>
      </w:r>
    </w:p>
    <w:sectPr w:rsidR="00D56C98" w:rsidRPr="000864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AD8" w:rsidRDefault="00B04AD8" w:rsidP="00B04AD8">
      <w:r>
        <w:separator/>
      </w:r>
    </w:p>
  </w:endnote>
  <w:endnote w:type="continuationSeparator" w:id="0">
    <w:p w:rsidR="00B04AD8" w:rsidRDefault="00B04AD8" w:rsidP="00B0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AD8" w:rsidRDefault="00B04AD8" w:rsidP="00B04AD8">
      <w:r>
        <w:separator/>
      </w:r>
    </w:p>
  </w:footnote>
  <w:footnote w:type="continuationSeparator" w:id="0">
    <w:p w:rsidR="00B04AD8" w:rsidRDefault="00B04AD8" w:rsidP="00B04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3E6"/>
    <w:rsid w:val="00066AB0"/>
    <w:rsid w:val="0008640A"/>
    <w:rsid w:val="00107505"/>
    <w:rsid w:val="001A0091"/>
    <w:rsid w:val="003866DC"/>
    <w:rsid w:val="004E110E"/>
    <w:rsid w:val="0059123D"/>
    <w:rsid w:val="005C26C0"/>
    <w:rsid w:val="008116BB"/>
    <w:rsid w:val="00863FD0"/>
    <w:rsid w:val="00866727"/>
    <w:rsid w:val="00874B8B"/>
    <w:rsid w:val="009D760C"/>
    <w:rsid w:val="00A12726"/>
    <w:rsid w:val="00B04AD8"/>
    <w:rsid w:val="00B06781"/>
    <w:rsid w:val="00D56C98"/>
    <w:rsid w:val="00DF5D26"/>
    <w:rsid w:val="00ED03E6"/>
    <w:rsid w:val="00FF3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AD8"/>
    <w:pPr>
      <w:tabs>
        <w:tab w:val="center" w:pos="4252"/>
        <w:tab w:val="right" w:pos="8504"/>
      </w:tabs>
      <w:snapToGrid w:val="0"/>
    </w:pPr>
  </w:style>
  <w:style w:type="character" w:customStyle="1" w:styleId="a4">
    <w:name w:val="ヘッダー (文字)"/>
    <w:basedOn w:val="a0"/>
    <w:link w:val="a3"/>
    <w:uiPriority w:val="99"/>
    <w:rsid w:val="00B04AD8"/>
  </w:style>
  <w:style w:type="paragraph" w:styleId="a5">
    <w:name w:val="footer"/>
    <w:basedOn w:val="a"/>
    <w:link w:val="a6"/>
    <w:uiPriority w:val="99"/>
    <w:unhideWhenUsed/>
    <w:rsid w:val="00B04AD8"/>
    <w:pPr>
      <w:tabs>
        <w:tab w:val="center" w:pos="4252"/>
        <w:tab w:val="right" w:pos="8504"/>
      </w:tabs>
      <w:snapToGrid w:val="0"/>
    </w:pPr>
  </w:style>
  <w:style w:type="character" w:customStyle="1" w:styleId="a6">
    <w:name w:val="フッター (文字)"/>
    <w:basedOn w:val="a0"/>
    <w:link w:val="a5"/>
    <w:uiPriority w:val="99"/>
    <w:rsid w:val="00B04AD8"/>
  </w:style>
  <w:style w:type="paragraph" w:styleId="a7">
    <w:name w:val="Balloon Text"/>
    <w:basedOn w:val="a"/>
    <w:link w:val="a8"/>
    <w:uiPriority w:val="99"/>
    <w:semiHidden/>
    <w:unhideWhenUsed/>
    <w:rsid w:val="00D56C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6C9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AD8"/>
    <w:pPr>
      <w:tabs>
        <w:tab w:val="center" w:pos="4252"/>
        <w:tab w:val="right" w:pos="8504"/>
      </w:tabs>
      <w:snapToGrid w:val="0"/>
    </w:pPr>
  </w:style>
  <w:style w:type="character" w:customStyle="1" w:styleId="a4">
    <w:name w:val="ヘッダー (文字)"/>
    <w:basedOn w:val="a0"/>
    <w:link w:val="a3"/>
    <w:uiPriority w:val="99"/>
    <w:rsid w:val="00B04AD8"/>
  </w:style>
  <w:style w:type="paragraph" w:styleId="a5">
    <w:name w:val="footer"/>
    <w:basedOn w:val="a"/>
    <w:link w:val="a6"/>
    <w:uiPriority w:val="99"/>
    <w:unhideWhenUsed/>
    <w:rsid w:val="00B04AD8"/>
    <w:pPr>
      <w:tabs>
        <w:tab w:val="center" w:pos="4252"/>
        <w:tab w:val="right" w:pos="8504"/>
      </w:tabs>
      <w:snapToGrid w:val="0"/>
    </w:pPr>
  </w:style>
  <w:style w:type="character" w:customStyle="1" w:styleId="a6">
    <w:name w:val="フッター (文字)"/>
    <w:basedOn w:val="a0"/>
    <w:link w:val="a5"/>
    <w:uiPriority w:val="99"/>
    <w:rsid w:val="00B04AD8"/>
  </w:style>
  <w:style w:type="paragraph" w:styleId="a7">
    <w:name w:val="Balloon Text"/>
    <w:basedOn w:val="a"/>
    <w:link w:val="a8"/>
    <w:uiPriority w:val="99"/>
    <w:semiHidden/>
    <w:unhideWhenUsed/>
    <w:rsid w:val="00D56C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6C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知行</dc:creator>
  <cp:keywords/>
  <dc:description/>
  <cp:lastModifiedBy>岡本　知行</cp:lastModifiedBy>
  <cp:revision>17</cp:revision>
  <dcterms:created xsi:type="dcterms:W3CDTF">2016-12-05T08:34:00Z</dcterms:created>
  <dcterms:modified xsi:type="dcterms:W3CDTF">2017-02-22T01:57:00Z</dcterms:modified>
</cp:coreProperties>
</file>